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BD" w:rsidRPr="00654EC0" w:rsidRDefault="00575EBD" w:rsidP="00A2745F">
      <w:pPr>
        <w:widowControl/>
        <w:tabs>
          <w:tab w:val="left" w:pos="2340"/>
        </w:tabs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bookmarkStart w:id="0" w:name="_GoBack"/>
      <w:r w:rsidRPr="00654EC0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bookmarkEnd w:id="0"/>
    <w:p w:rsidR="00575EBD" w:rsidRPr="007C611E" w:rsidRDefault="00575EBD" w:rsidP="00575EB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8B499" wp14:editId="09953EFB">
                <wp:simplePos x="0" y="0"/>
                <wp:positionH relativeFrom="column">
                  <wp:posOffset>5667375</wp:posOffset>
                </wp:positionH>
                <wp:positionV relativeFrom="paragraph">
                  <wp:posOffset>-431800</wp:posOffset>
                </wp:positionV>
                <wp:extent cx="909320" cy="429895"/>
                <wp:effectExtent l="0" t="0" r="5080" b="8255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EBD" w:rsidRDefault="00575EBD" w:rsidP="00575EB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5EBD" w:rsidRDefault="00575EBD" w:rsidP="00575EB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8B499" id="_x0000_t202" coordsize="21600,21600" o:spt="202" path="m,l,21600r21600,l21600,xe">
                <v:stroke joinstyle="miter"/>
                <v:path gradientshapeok="t" o:connecttype="rect"/>
              </v:shapetype>
              <v:shape id="文字方塊 64" o:spid="_x0000_s1026" type="#_x0000_t202" style="position:absolute;margin-left:446.25pt;margin-top:-34pt;width:71.6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" stroked="f">
                <v:textbox inset=".5mm,0,.5mm,0">
                  <w:txbxContent>
                    <w:p w:rsidR="00575EBD" w:rsidRDefault="00575EBD" w:rsidP="00575EBD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575EBD" w:rsidRDefault="00575EBD" w:rsidP="00575EBD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611E">
        <w:rPr>
          <w:rFonts w:ascii="標楷體" w:eastAsia="標楷體" w:hAnsi="標楷體"/>
          <w:color w:val="000000"/>
          <w:sz w:val="22"/>
          <w:szCs w:val="24"/>
        </w:rPr>
        <w:t>一、院系所組：</w:t>
      </w: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商</w:t>
      </w:r>
      <w:r w:rsidRPr="007C611E">
        <w:rPr>
          <w:rFonts w:ascii="標楷體" w:eastAsia="標楷體" w:hAnsi="標楷體"/>
          <w:color w:val="000000"/>
          <w:sz w:val="22"/>
          <w:szCs w:val="24"/>
        </w:rPr>
        <w:t xml:space="preserve">學院  </w:t>
      </w: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會計學系</w:t>
      </w:r>
      <w:r w:rsidRPr="007C611E">
        <w:rPr>
          <w:rFonts w:ascii="標楷體" w:eastAsia="標楷體" w:hAnsi="標楷體"/>
          <w:color w:val="000000"/>
          <w:sz w:val="22"/>
          <w:szCs w:val="24"/>
        </w:rPr>
        <w:t xml:space="preserve">  碩士班</w:t>
      </w:r>
    </w:p>
    <w:p w:rsidR="00575EBD" w:rsidRPr="007C611E" w:rsidRDefault="00575EBD" w:rsidP="00575EB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C611E">
        <w:rPr>
          <w:rFonts w:ascii="標楷體" w:eastAsia="標楷體" w:hAnsi="標楷體"/>
          <w:color w:val="000000"/>
          <w:sz w:val="22"/>
          <w:szCs w:val="24"/>
        </w:rPr>
        <w:t>二、授予學位：</w:t>
      </w: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會計</w:t>
      </w:r>
      <w:r w:rsidRPr="007C611E">
        <w:rPr>
          <w:rFonts w:ascii="標楷體" w:eastAsia="標楷體" w:hAnsi="標楷體"/>
          <w:color w:val="000000"/>
          <w:sz w:val="22"/>
          <w:szCs w:val="24"/>
        </w:rPr>
        <w:t>學碩士</w:t>
      </w:r>
    </w:p>
    <w:p w:rsidR="00575EBD" w:rsidRPr="007C611E" w:rsidRDefault="00575EBD" w:rsidP="00575EB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C611E">
        <w:rPr>
          <w:rFonts w:ascii="標楷體" w:eastAsia="標楷體" w:hAnsi="標楷體"/>
          <w:color w:val="000000"/>
          <w:sz w:val="22"/>
          <w:szCs w:val="24"/>
        </w:rPr>
        <w:t>三、適用年度：</w:t>
      </w: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103</w:t>
      </w:r>
      <w:r w:rsidRPr="007C611E">
        <w:rPr>
          <w:rFonts w:ascii="標楷體" w:eastAsia="標楷體" w:hAnsi="標楷體"/>
          <w:color w:val="000000"/>
          <w:sz w:val="22"/>
          <w:szCs w:val="24"/>
        </w:rPr>
        <w:t>學年度</w:t>
      </w: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起</w:t>
      </w:r>
      <w:r w:rsidRPr="007C611E">
        <w:rPr>
          <w:rFonts w:ascii="標楷體" w:eastAsia="標楷體" w:hAnsi="標楷體"/>
          <w:color w:val="000000"/>
          <w:sz w:val="22"/>
          <w:szCs w:val="24"/>
        </w:rPr>
        <w:t>入學</w:t>
      </w: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7C611E">
        <w:rPr>
          <w:rFonts w:ascii="標楷體" w:eastAsia="標楷體" w:hAnsi="標楷體"/>
          <w:color w:val="000000"/>
          <w:sz w:val="22"/>
          <w:szCs w:val="24"/>
        </w:rPr>
        <w:t>適用。</w:t>
      </w:r>
      <w:r w:rsidRPr="007C611E">
        <w:rPr>
          <w:rFonts w:eastAsia="標楷體" w:hint="eastAsia"/>
          <w:color w:val="FF0000"/>
          <w:sz w:val="16"/>
          <w:szCs w:val="16"/>
        </w:rPr>
        <w:t xml:space="preserve">103.5.21  </w:t>
      </w:r>
      <w:r w:rsidRPr="007C611E">
        <w:rPr>
          <w:rFonts w:eastAsia="標楷體" w:hAnsi="標楷體" w:hint="eastAsia"/>
          <w:color w:val="FF0000"/>
          <w:sz w:val="16"/>
          <w:szCs w:val="16"/>
        </w:rPr>
        <w:t>102</w:t>
      </w:r>
      <w:r w:rsidRPr="007C611E">
        <w:rPr>
          <w:rFonts w:eastAsia="標楷體" w:hAnsi="標楷體"/>
          <w:color w:val="FF0000"/>
          <w:sz w:val="16"/>
          <w:szCs w:val="16"/>
        </w:rPr>
        <w:t>學年度第</w:t>
      </w:r>
      <w:r w:rsidRPr="007C611E">
        <w:rPr>
          <w:rFonts w:eastAsia="標楷體" w:hAnsi="標楷體" w:hint="eastAsia"/>
          <w:color w:val="FF0000"/>
          <w:sz w:val="16"/>
          <w:szCs w:val="16"/>
        </w:rPr>
        <w:t>2</w:t>
      </w:r>
      <w:r w:rsidRPr="007C611E">
        <w:rPr>
          <w:rFonts w:eastAsia="標楷體" w:hAnsi="標楷體" w:hint="eastAsia"/>
          <w:color w:val="FF0000"/>
          <w:sz w:val="16"/>
          <w:szCs w:val="16"/>
        </w:rPr>
        <w:t>學期教務會議</w:t>
      </w:r>
      <w:r w:rsidRPr="007C611E">
        <w:rPr>
          <w:rFonts w:eastAsia="標楷體" w:hAnsi="標楷體"/>
          <w:color w:val="FF0000"/>
          <w:sz w:val="16"/>
          <w:szCs w:val="16"/>
        </w:rPr>
        <w:t>通過</w:t>
      </w:r>
      <w:r>
        <w:rPr>
          <w:rFonts w:ascii="標楷體" w:eastAsia="標楷體" w:hAnsi="標楷體"/>
          <w:noProof/>
          <w:color w:val="000000"/>
          <w:sz w:val="22"/>
          <w:szCs w:val="24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3D9DDE27" wp14:editId="6C605622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66" name="直線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FAE43" id="直線接點 66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"/>
            </w:pict>
          </mc:Fallback>
        </mc:AlternateContent>
      </w:r>
    </w:p>
    <w:p w:rsidR="00575EBD" w:rsidRPr="007C611E" w:rsidRDefault="00575EBD" w:rsidP="00575EB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C611E">
        <w:rPr>
          <w:rFonts w:ascii="標楷體" w:eastAsia="標楷體" w:hAnsi="標楷體"/>
          <w:color w:val="000000"/>
          <w:sz w:val="22"/>
          <w:szCs w:val="24"/>
        </w:rPr>
        <w:t>四、最低畢業學分數：</w:t>
      </w: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36</w:t>
      </w:r>
      <w:r w:rsidRPr="007C611E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575EBD" w:rsidRPr="007C611E" w:rsidRDefault="00575EBD" w:rsidP="00575EB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C611E">
        <w:rPr>
          <w:rFonts w:ascii="標楷體" w:eastAsia="標楷體" w:hAnsi="標楷體"/>
          <w:color w:val="000000"/>
          <w:sz w:val="22"/>
          <w:szCs w:val="24"/>
        </w:rPr>
        <w:t>五、承認他所（含國內、外）學分數：</w:t>
      </w: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承認商學院他所</w:t>
      </w:r>
      <w:r w:rsidRPr="007C611E">
        <w:rPr>
          <w:rFonts w:ascii="標楷體" w:eastAsia="標楷體" w:hAnsi="標楷體"/>
          <w:color w:val="000000"/>
          <w:sz w:val="22"/>
          <w:szCs w:val="24"/>
        </w:rPr>
        <w:t>一門</w:t>
      </w: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課程</w:t>
      </w:r>
    </w:p>
    <w:p w:rsidR="00575EBD" w:rsidRPr="007C611E" w:rsidRDefault="00575EBD" w:rsidP="00575EB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C611E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019"/>
        <w:gridCol w:w="886"/>
        <w:gridCol w:w="885"/>
        <w:gridCol w:w="2862"/>
      </w:tblGrid>
      <w:tr w:rsidR="00575EBD" w:rsidRPr="007C611E" w:rsidTr="00F6624B">
        <w:trPr>
          <w:jc w:val="center"/>
        </w:trPr>
        <w:tc>
          <w:tcPr>
            <w:tcW w:w="1863" w:type="dxa"/>
            <w:shd w:val="clear" w:color="auto" w:fill="D6E3BC"/>
            <w:vAlign w:val="center"/>
          </w:tcPr>
          <w:p w:rsidR="00575EBD" w:rsidRPr="007C611E" w:rsidRDefault="00575EB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2335" w:type="dxa"/>
            <w:shd w:val="clear" w:color="auto" w:fill="D9D9D9"/>
            <w:vAlign w:val="center"/>
          </w:tcPr>
          <w:p w:rsidR="00575EBD" w:rsidRPr="007C611E" w:rsidRDefault="00575EBD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75EBD" w:rsidRPr="007C611E" w:rsidRDefault="00575EBD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75EBD" w:rsidRPr="007C611E" w:rsidRDefault="00575EB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297" w:type="dxa"/>
            <w:shd w:val="clear" w:color="auto" w:fill="D9D9D9"/>
            <w:vAlign w:val="center"/>
          </w:tcPr>
          <w:p w:rsidR="00575EBD" w:rsidRPr="007C611E" w:rsidRDefault="00575EBD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575EBD" w:rsidRPr="007C611E" w:rsidTr="00F6624B">
        <w:trPr>
          <w:jc w:val="center"/>
        </w:trPr>
        <w:tc>
          <w:tcPr>
            <w:tcW w:w="186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0801</w:t>
            </w:r>
          </w:p>
        </w:tc>
        <w:tc>
          <w:tcPr>
            <w:tcW w:w="2335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英文</w:t>
            </w:r>
          </w:p>
        </w:tc>
        <w:tc>
          <w:tcPr>
            <w:tcW w:w="99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3297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575EBD" w:rsidRPr="007C611E" w:rsidTr="00F6624B">
        <w:trPr>
          <w:jc w:val="center"/>
        </w:trPr>
        <w:tc>
          <w:tcPr>
            <w:tcW w:w="186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0125</w:t>
            </w:r>
          </w:p>
        </w:tc>
        <w:tc>
          <w:tcPr>
            <w:tcW w:w="2335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研究方法</w:t>
            </w:r>
          </w:p>
        </w:tc>
        <w:tc>
          <w:tcPr>
            <w:tcW w:w="99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3297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575EBD" w:rsidRPr="007C611E" w:rsidTr="00F6624B">
        <w:trPr>
          <w:jc w:val="center"/>
        </w:trPr>
        <w:tc>
          <w:tcPr>
            <w:tcW w:w="186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4136</w:t>
            </w:r>
          </w:p>
        </w:tc>
        <w:tc>
          <w:tcPr>
            <w:tcW w:w="2335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數量方法</w:t>
            </w:r>
          </w:p>
        </w:tc>
        <w:tc>
          <w:tcPr>
            <w:tcW w:w="99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3297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575EBD" w:rsidRPr="007C611E" w:rsidTr="00F6624B">
        <w:trPr>
          <w:jc w:val="center"/>
        </w:trPr>
        <w:tc>
          <w:tcPr>
            <w:tcW w:w="186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4783</w:t>
            </w:r>
          </w:p>
        </w:tc>
        <w:tc>
          <w:tcPr>
            <w:tcW w:w="2335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1" locked="0" layoutInCell="0" allowOverlap="1" wp14:anchorId="46D539A2" wp14:editId="7D10C940">
                  <wp:simplePos x="0" y="0"/>
                  <wp:positionH relativeFrom="margin">
                    <wp:posOffset>218440</wp:posOffset>
                  </wp:positionH>
                  <wp:positionV relativeFrom="margin">
                    <wp:posOffset>-1282700</wp:posOffset>
                  </wp:positionV>
                  <wp:extent cx="2781300" cy="2790825"/>
                  <wp:effectExtent l="19050" t="0" r="0" b="0"/>
                  <wp:wrapNone/>
                  <wp:docPr id="67" name="圖片 6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高等財務會計理論</w:t>
            </w:r>
          </w:p>
        </w:tc>
        <w:tc>
          <w:tcPr>
            <w:tcW w:w="99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3297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575EBD" w:rsidRPr="007C611E" w:rsidTr="00F6624B">
        <w:trPr>
          <w:jc w:val="center"/>
        </w:trPr>
        <w:tc>
          <w:tcPr>
            <w:tcW w:w="186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4833</w:t>
            </w:r>
          </w:p>
        </w:tc>
        <w:tc>
          <w:tcPr>
            <w:tcW w:w="2335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高等管理會計理論</w:t>
            </w:r>
          </w:p>
        </w:tc>
        <w:tc>
          <w:tcPr>
            <w:tcW w:w="99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3297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575EBD" w:rsidRPr="007C611E" w:rsidTr="00F6624B">
        <w:trPr>
          <w:jc w:val="center"/>
        </w:trPr>
        <w:tc>
          <w:tcPr>
            <w:tcW w:w="186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5690</w:t>
            </w:r>
          </w:p>
        </w:tc>
        <w:tc>
          <w:tcPr>
            <w:tcW w:w="2335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高等審計學</w:t>
            </w:r>
          </w:p>
        </w:tc>
        <w:tc>
          <w:tcPr>
            <w:tcW w:w="99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3297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575EBD" w:rsidRPr="007C611E" w:rsidTr="00F6624B">
        <w:trPr>
          <w:jc w:val="center"/>
        </w:trPr>
        <w:tc>
          <w:tcPr>
            <w:tcW w:w="186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E632</w:t>
            </w:r>
          </w:p>
        </w:tc>
        <w:tc>
          <w:tcPr>
            <w:tcW w:w="2335" w:type="dxa"/>
            <w:vAlign w:val="center"/>
          </w:tcPr>
          <w:p w:rsidR="00575EBD" w:rsidRPr="007C611E" w:rsidRDefault="00575EBD" w:rsidP="00F6624B">
            <w:pPr>
              <w:spacing w:line="300" w:lineRule="auto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碩：國際企業管理</w:t>
            </w:r>
          </w:p>
        </w:tc>
        <w:tc>
          <w:tcPr>
            <w:tcW w:w="99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3297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院共同必修</w:t>
            </w:r>
          </w:p>
        </w:tc>
      </w:tr>
      <w:tr w:rsidR="00575EBD" w:rsidRPr="007C611E" w:rsidTr="00F6624B">
        <w:trPr>
          <w:jc w:val="center"/>
        </w:trPr>
        <w:tc>
          <w:tcPr>
            <w:tcW w:w="186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C611E">
              <w:rPr>
                <w:rFonts w:ascii="Times New Roman" w:eastAsia="新細明體" w:hAnsi="Times New Roman" w:hint="eastAsia"/>
                <w:b/>
                <w:szCs w:val="24"/>
              </w:rPr>
              <w:t>F878</w:t>
            </w:r>
          </w:p>
        </w:tc>
        <w:tc>
          <w:tcPr>
            <w:tcW w:w="2335" w:type="dxa"/>
            <w:vAlign w:val="center"/>
          </w:tcPr>
          <w:p w:rsidR="00575EBD" w:rsidRPr="007C611E" w:rsidRDefault="00575EBD" w:rsidP="00F6624B">
            <w:pPr>
              <w:spacing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7C611E">
              <w:rPr>
                <w:rFonts w:ascii="Times New Roman" w:eastAsia="標楷體" w:hAnsi="Times New Roman" w:hint="eastAsia"/>
                <w:b/>
                <w:szCs w:val="24"/>
              </w:rPr>
              <w:t>經營倫理研討</w:t>
            </w:r>
          </w:p>
        </w:tc>
        <w:tc>
          <w:tcPr>
            <w:tcW w:w="99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297" w:type="dxa"/>
            <w:vAlign w:val="center"/>
          </w:tcPr>
          <w:p w:rsidR="00575EBD" w:rsidRPr="007C611E" w:rsidRDefault="00575EBD" w:rsidP="00F6624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4"/>
              </w:rPr>
            </w:pPr>
            <w:r w:rsidRPr="007C611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4"/>
              </w:rPr>
              <w:t>院共同必修</w:t>
            </w:r>
          </w:p>
        </w:tc>
      </w:tr>
      <w:tr w:rsidR="00575EBD" w:rsidRPr="007C611E" w:rsidTr="00F6624B">
        <w:trPr>
          <w:jc w:val="center"/>
        </w:trPr>
        <w:tc>
          <w:tcPr>
            <w:tcW w:w="186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575EBD" w:rsidRPr="007C611E" w:rsidRDefault="00575EBD" w:rsidP="00F6624B">
            <w:pPr>
              <w:spacing w:line="300" w:lineRule="auto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575EBD" w:rsidRPr="007C611E" w:rsidTr="00F6624B">
        <w:trPr>
          <w:jc w:val="center"/>
        </w:trPr>
        <w:tc>
          <w:tcPr>
            <w:tcW w:w="186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9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24</w:t>
            </w:r>
          </w:p>
        </w:tc>
        <w:tc>
          <w:tcPr>
            <w:tcW w:w="3297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575EBD" w:rsidRPr="007C611E" w:rsidRDefault="00575EBD" w:rsidP="00575EB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C611E">
        <w:rPr>
          <w:rFonts w:ascii="標楷體" w:eastAsia="標楷體" w:hAnsi="標楷體"/>
          <w:color w:val="000000"/>
          <w:sz w:val="22"/>
          <w:szCs w:val="24"/>
        </w:rPr>
        <w:t>七、基礎學科（以同等學力資格或</w:t>
      </w: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非相關學系畢業資格錄取者</w:t>
      </w:r>
      <w:r w:rsidRPr="007C611E">
        <w:rPr>
          <w:rFonts w:ascii="標楷體" w:eastAsia="標楷體" w:hAnsi="標楷體"/>
          <w:color w:val="000000"/>
          <w:sz w:val="22"/>
          <w:szCs w:val="24"/>
        </w:rPr>
        <w:t>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99"/>
        <w:gridCol w:w="893"/>
        <w:gridCol w:w="775"/>
        <w:gridCol w:w="3934"/>
      </w:tblGrid>
      <w:tr w:rsidR="00575EBD" w:rsidRPr="007C611E" w:rsidTr="00F6624B">
        <w:trPr>
          <w:jc w:val="center"/>
        </w:trPr>
        <w:tc>
          <w:tcPr>
            <w:tcW w:w="655" w:type="dxa"/>
            <w:shd w:val="clear" w:color="auto" w:fill="D9D9D9"/>
            <w:vAlign w:val="center"/>
          </w:tcPr>
          <w:p w:rsidR="00575EBD" w:rsidRPr="007C611E" w:rsidRDefault="00575EB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:rsidR="00575EBD" w:rsidRPr="007C611E" w:rsidRDefault="00575EBD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75EBD" w:rsidRPr="007C611E" w:rsidRDefault="00575EB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75EBD" w:rsidRPr="007C611E" w:rsidRDefault="00575EBD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4573" w:type="dxa"/>
            <w:shd w:val="clear" w:color="auto" w:fill="D9D9D9"/>
            <w:vAlign w:val="center"/>
          </w:tcPr>
          <w:p w:rsidR="00575EBD" w:rsidRPr="007C611E" w:rsidRDefault="00575EBD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575EBD" w:rsidRPr="007C611E" w:rsidTr="00F6624B">
        <w:trPr>
          <w:jc w:val="center"/>
        </w:trPr>
        <w:tc>
          <w:tcPr>
            <w:tcW w:w="655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中級會計學</w:t>
            </w:r>
          </w:p>
        </w:tc>
        <w:tc>
          <w:tcPr>
            <w:tcW w:w="99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4573" w:type="dxa"/>
            <w:vMerge w:val="restart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上述科目於國家高等考試相關類科之考試成績達60分(含)以上者，</w:t>
            </w:r>
            <w:proofErr w:type="gramStart"/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均得予</w:t>
            </w:r>
            <w:proofErr w:type="gramEnd"/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免修。</w:t>
            </w:r>
          </w:p>
        </w:tc>
      </w:tr>
      <w:tr w:rsidR="00575EBD" w:rsidRPr="007C611E" w:rsidTr="00F6624B">
        <w:trPr>
          <w:jc w:val="center"/>
        </w:trPr>
        <w:tc>
          <w:tcPr>
            <w:tcW w:w="655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成本與管理會計</w:t>
            </w:r>
          </w:p>
        </w:tc>
        <w:tc>
          <w:tcPr>
            <w:tcW w:w="99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4573" w:type="dxa"/>
            <w:vMerge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575EBD" w:rsidRPr="007C611E" w:rsidTr="00F6624B">
        <w:trPr>
          <w:jc w:val="center"/>
        </w:trPr>
        <w:tc>
          <w:tcPr>
            <w:tcW w:w="655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審計學</w:t>
            </w:r>
          </w:p>
        </w:tc>
        <w:tc>
          <w:tcPr>
            <w:tcW w:w="99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4573" w:type="dxa"/>
            <w:vMerge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575EBD" w:rsidRPr="007C611E" w:rsidTr="00F6624B">
        <w:trPr>
          <w:jc w:val="center"/>
        </w:trPr>
        <w:tc>
          <w:tcPr>
            <w:tcW w:w="655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9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C611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15</w:t>
            </w:r>
          </w:p>
        </w:tc>
        <w:tc>
          <w:tcPr>
            <w:tcW w:w="4573" w:type="dxa"/>
            <w:vAlign w:val="center"/>
          </w:tcPr>
          <w:p w:rsidR="00575EBD" w:rsidRPr="007C611E" w:rsidRDefault="00575EBD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575EBD" w:rsidRPr="007C611E" w:rsidRDefault="00575EBD" w:rsidP="00575EB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7C611E">
        <w:rPr>
          <w:rFonts w:ascii="標楷體" w:eastAsia="標楷體" w:hAnsi="標楷體"/>
          <w:color w:val="000000"/>
          <w:sz w:val="22"/>
          <w:szCs w:val="24"/>
        </w:rPr>
        <w:t>、</w:t>
      </w: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7C611E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575EBD" w:rsidRPr="007C611E" w:rsidRDefault="00575EBD" w:rsidP="00575EBD">
      <w:pPr>
        <w:snapToGrid w:val="0"/>
        <w:spacing w:line="300" w:lineRule="auto"/>
        <w:ind w:leftChars="177" w:left="426" w:hanging="1"/>
        <w:rPr>
          <w:rFonts w:ascii="標楷體" w:eastAsia="標楷體" w:hAnsi="標楷體"/>
          <w:color w:val="000000"/>
          <w:sz w:val="22"/>
          <w:szCs w:val="24"/>
        </w:rPr>
      </w:pPr>
      <w:r w:rsidRPr="007C611E">
        <w:rPr>
          <w:rFonts w:ascii="標楷體" w:eastAsia="標楷體" w:hAnsi="標楷體"/>
          <w:color w:val="000000"/>
          <w:sz w:val="22"/>
          <w:szCs w:val="24"/>
        </w:rPr>
        <w:t>依本校「博碩士班學位論文考試辦法」辦理</w:t>
      </w: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，相關規定請參考網址：</w:t>
      </w:r>
      <w:hyperlink r:id="rId5" w:history="1">
        <w:r w:rsidRPr="007C611E">
          <w:rPr>
            <w:rFonts w:ascii="標楷體" w:eastAsia="標楷體" w:hAnsi="標楷體"/>
            <w:color w:val="0000FF"/>
            <w:sz w:val="22"/>
            <w:szCs w:val="24"/>
            <w:u w:val="single"/>
          </w:rPr>
          <w:t>http://reg.pccu.edu.tw/ezfiles/4/1004/img/54/CUAJ_Law01.pdf</w:t>
        </w:r>
      </w:hyperlink>
    </w:p>
    <w:p w:rsidR="00575EBD" w:rsidRPr="007C611E" w:rsidRDefault="00575EBD" w:rsidP="00575EBD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7C611E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7C611E">
        <w:rPr>
          <w:rFonts w:ascii="標楷體" w:eastAsia="標楷體" w:hAnsi="標楷體"/>
          <w:color w:val="000000"/>
          <w:sz w:val="22"/>
          <w:szCs w:val="24"/>
        </w:rPr>
        <w:t>、備註</w:t>
      </w:r>
    </w:p>
    <w:p w:rsidR="00575EBD" w:rsidRPr="007C611E" w:rsidRDefault="00575EBD" w:rsidP="00575EBD">
      <w:pPr>
        <w:snapToGrid w:val="0"/>
        <w:spacing w:line="300" w:lineRule="auto"/>
        <w:ind w:leftChars="199" w:left="487" w:hangingChars="4" w:hanging="9"/>
        <w:rPr>
          <w:rFonts w:ascii="標楷體" w:eastAsia="標楷體" w:hAnsi="標楷體"/>
          <w:sz w:val="22"/>
          <w:szCs w:val="24"/>
        </w:rPr>
      </w:pPr>
      <w:r w:rsidRPr="007C611E">
        <w:rPr>
          <w:rFonts w:ascii="標楷體" w:eastAsia="標楷體" w:hAnsi="標楷體" w:hint="eastAsia"/>
          <w:sz w:val="22"/>
          <w:szCs w:val="24"/>
        </w:rPr>
        <w:t>英文檢定規定：須達</w:t>
      </w:r>
      <w:r w:rsidRPr="007C611E">
        <w:rPr>
          <w:rFonts w:ascii="標楷體" w:eastAsia="標楷體" w:hAnsi="標楷體"/>
          <w:sz w:val="22"/>
          <w:szCs w:val="24"/>
        </w:rPr>
        <w:t>TOEIC640</w:t>
      </w:r>
      <w:r w:rsidRPr="007C611E">
        <w:rPr>
          <w:rFonts w:ascii="標楷體" w:eastAsia="標楷體" w:hAnsi="標楷體" w:hint="eastAsia"/>
          <w:sz w:val="22"/>
          <w:szCs w:val="24"/>
        </w:rPr>
        <w:t>分以上、托福</w:t>
      </w:r>
      <w:r w:rsidRPr="007C611E">
        <w:rPr>
          <w:rFonts w:ascii="標楷體" w:eastAsia="標楷體" w:hAnsi="標楷體"/>
          <w:sz w:val="22"/>
          <w:szCs w:val="24"/>
        </w:rPr>
        <w:t>520</w:t>
      </w:r>
      <w:r w:rsidRPr="007C611E">
        <w:rPr>
          <w:rFonts w:ascii="標楷體" w:eastAsia="標楷體" w:hAnsi="標楷體" w:hint="eastAsia"/>
          <w:sz w:val="22"/>
          <w:szCs w:val="24"/>
        </w:rPr>
        <w:t>分以上或其他相對檢定成績之英檢標準，方可申請畢業。</w:t>
      </w:r>
    </w:p>
    <w:p w:rsidR="00755AC6" w:rsidRPr="00575EBD" w:rsidRDefault="00755AC6" w:rsidP="00575EBD">
      <w:pPr>
        <w:widowControl/>
        <w:rPr>
          <w:rFonts w:ascii="標楷體" w:eastAsia="標楷體" w:hAnsi="標楷體"/>
          <w:color w:val="000000"/>
          <w:sz w:val="22"/>
        </w:rPr>
      </w:pPr>
    </w:p>
    <w:sectPr w:rsidR="00755AC6" w:rsidRPr="00575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BD"/>
    <w:rsid w:val="00575EBD"/>
    <w:rsid w:val="00755AC6"/>
    <w:rsid w:val="00A2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B409B-A8A9-4090-8051-48E33AA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BD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.pccu.edu.tw/ezfiles/4/1004/img/54/CUAJ_Law0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2019-03-13T02:04:00Z</dcterms:created>
  <dcterms:modified xsi:type="dcterms:W3CDTF">2019-03-14T02:44:00Z</dcterms:modified>
</cp:coreProperties>
</file>