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04" w:rsidRPr="004A5A45" w:rsidRDefault="00FB2F8B" w:rsidP="00407F04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cs="新細明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3F550" wp14:editId="3BB70ADA">
                <wp:simplePos x="0" y="0"/>
                <wp:positionH relativeFrom="column">
                  <wp:posOffset>5269865</wp:posOffset>
                </wp:positionH>
                <wp:positionV relativeFrom="paragraph">
                  <wp:posOffset>-514350</wp:posOffset>
                </wp:positionV>
                <wp:extent cx="756920" cy="429895"/>
                <wp:effectExtent l="0" t="0" r="5080" b="8255"/>
                <wp:wrapNone/>
                <wp:docPr id="3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F04" w:rsidRDefault="00407F04" w:rsidP="00407F0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碩-07</w:t>
                            </w:r>
                          </w:p>
                          <w:p w:rsidR="00407F04" w:rsidRDefault="00407F04" w:rsidP="00407F0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3F55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414.95pt;margin-top:-40.5pt;width:59.6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" stroked="f">
                <v:textbox inset=".5mm,0,.5mm,0">
                  <w:txbxContent>
                    <w:p w:rsidR="00407F04" w:rsidRDefault="00407F04" w:rsidP="00407F04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碩-07</w:t>
                      </w:r>
                    </w:p>
                    <w:p w:rsidR="00407F04" w:rsidRDefault="00407F04" w:rsidP="00407F04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F04"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407F04" w:rsidRPr="004A5A45" w:rsidRDefault="00407F04" w:rsidP="00407F04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一、院系所組：</w:t>
      </w:r>
      <w:r>
        <w:rPr>
          <w:rFonts w:ascii="標楷體" w:eastAsia="標楷體" w:hAnsi="標楷體" w:hint="eastAsia"/>
          <w:color w:val="000000"/>
          <w:sz w:val="22"/>
        </w:rPr>
        <w:t>理</w:t>
      </w:r>
      <w:r w:rsidRPr="004A5A45">
        <w:rPr>
          <w:rFonts w:ascii="標楷體" w:eastAsia="標楷體" w:hAnsi="標楷體"/>
          <w:color w:val="000000"/>
          <w:sz w:val="22"/>
        </w:rPr>
        <w:t>學院</w:t>
      </w:r>
      <w:r w:rsidRPr="004A5A45">
        <w:rPr>
          <w:rFonts w:ascii="標楷體" w:eastAsia="標楷體" w:hAnsi="標楷體" w:hint="eastAsia"/>
          <w:color w:val="000000"/>
          <w:sz w:val="22"/>
        </w:rPr>
        <w:t xml:space="preserve">  </w:t>
      </w:r>
      <w:r>
        <w:rPr>
          <w:rFonts w:ascii="標楷體" w:eastAsia="標楷體" w:hAnsi="標楷體" w:hint="eastAsia"/>
          <w:color w:val="000000"/>
          <w:sz w:val="22"/>
        </w:rPr>
        <w:t>化學系應用化學</w:t>
      </w:r>
      <w:r w:rsidRPr="004A5A45">
        <w:rPr>
          <w:rFonts w:ascii="標楷體" w:eastAsia="標楷體" w:hAnsi="標楷體" w:hint="eastAsia"/>
          <w:color w:val="000000"/>
          <w:sz w:val="22"/>
        </w:rPr>
        <w:t xml:space="preserve">  碩士班</w:t>
      </w:r>
    </w:p>
    <w:p w:rsidR="00407F04" w:rsidRPr="004A5A45" w:rsidRDefault="00407F04" w:rsidP="00407F04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二、授予學位：</w:t>
      </w:r>
      <w:r>
        <w:rPr>
          <w:rFonts w:ascii="標楷體" w:eastAsia="標楷體" w:hAnsi="標楷體" w:hint="eastAsia"/>
          <w:color w:val="000000"/>
          <w:sz w:val="22"/>
        </w:rPr>
        <w:t>理</w:t>
      </w:r>
      <w:r w:rsidRPr="004A5A45">
        <w:rPr>
          <w:rFonts w:ascii="標楷體" w:eastAsia="標楷體" w:hAnsi="標楷體"/>
          <w:color w:val="000000"/>
          <w:sz w:val="22"/>
        </w:rPr>
        <w:t>學</w:t>
      </w:r>
      <w:r w:rsidRPr="004A5A45">
        <w:rPr>
          <w:rFonts w:ascii="標楷體" w:eastAsia="標楷體" w:hAnsi="標楷體" w:hint="eastAsia"/>
          <w:color w:val="000000"/>
          <w:sz w:val="22"/>
        </w:rPr>
        <w:t>碩</w:t>
      </w:r>
      <w:r w:rsidRPr="004A5A45">
        <w:rPr>
          <w:rFonts w:ascii="標楷體" w:eastAsia="標楷體" w:hAnsi="標楷體"/>
          <w:color w:val="000000"/>
          <w:sz w:val="22"/>
        </w:rPr>
        <w:t>士</w:t>
      </w:r>
    </w:p>
    <w:p w:rsidR="00407F04" w:rsidRPr="004A5A45" w:rsidRDefault="00407F04" w:rsidP="00407F04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三、適用年度：</w:t>
      </w:r>
      <w:r>
        <w:rPr>
          <w:rFonts w:ascii="標楷體" w:eastAsia="標楷體" w:hAnsi="標楷體" w:hint="eastAsia"/>
          <w:color w:val="000000"/>
          <w:sz w:val="22"/>
        </w:rPr>
        <w:t>103</w:t>
      </w:r>
      <w:r w:rsidRPr="004A5A45">
        <w:rPr>
          <w:rFonts w:ascii="標楷體" w:eastAsia="標楷體" w:hAnsi="標楷體"/>
          <w:color w:val="000000"/>
          <w:sz w:val="22"/>
        </w:rPr>
        <w:t>學年度</w:t>
      </w:r>
      <w:r>
        <w:rPr>
          <w:rFonts w:ascii="標楷體" w:eastAsia="標楷體" w:hAnsi="標楷體" w:hint="eastAsia"/>
          <w:color w:val="000000"/>
          <w:sz w:val="22"/>
        </w:rPr>
        <w:t>起</w:t>
      </w:r>
      <w:r w:rsidRPr="004A5A45">
        <w:rPr>
          <w:rFonts w:ascii="標楷體" w:eastAsia="標楷體" w:hAnsi="標楷體"/>
          <w:color w:val="000000"/>
          <w:sz w:val="22"/>
        </w:rPr>
        <w:t>入學</w:t>
      </w:r>
      <w:r w:rsidRPr="004A5A45">
        <w:rPr>
          <w:rFonts w:ascii="標楷體" w:eastAsia="標楷體" w:hAnsi="標楷體" w:hint="eastAsia"/>
          <w:color w:val="000000"/>
          <w:sz w:val="22"/>
        </w:rPr>
        <w:t>新生</w:t>
      </w:r>
      <w:r w:rsidRPr="004A5A45">
        <w:rPr>
          <w:rFonts w:ascii="標楷體" w:eastAsia="標楷體" w:hAnsi="標楷體"/>
          <w:color w:val="000000"/>
          <w:sz w:val="22"/>
        </w:rPr>
        <w:t>適用。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782832B8" wp14:editId="392EC1C4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30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84D51" id="Line 6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V4DgIAACU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"/>
            </w:pict>
          </mc:Fallback>
        </mc:AlternateContent>
      </w:r>
    </w:p>
    <w:p w:rsidR="00407F04" w:rsidRPr="004A5A45" w:rsidRDefault="00407F04" w:rsidP="00407F04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四、最低畢業學分數：</w:t>
      </w:r>
      <w:r w:rsidRPr="004A5A45">
        <w:rPr>
          <w:rFonts w:ascii="標楷體" w:eastAsia="標楷體" w:hAnsi="標楷體" w:hint="eastAsia"/>
          <w:color w:val="000000"/>
          <w:sz w:val="22"/>
        </w:rPr>
        <w:t>30</w:t>
      </w:r>
      <w:r w:rsidRPr="004A5A45">
        <w:rPr>
          <w:rFonts w:ascii="標楷體" w:eastAsia="標楷體" w:hAnsi="標楷體"/>
          <w:color w:val="000000"/>
          <w:sz w:val="22"/>
        </w:rPr>
        <w:t>學分</w:t>
      </w:r>
      <w:bookmarkStart w:id="0" w:name="_GoBack"/>
      <w:bookmarkEnd w:id="0"/>
    </w:p>
    <w:p w:rsidR="00407F04" w:rsidRPr="004A5A45" w:rsidRDefault="00407F04" w:rsidP="00407F04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>
        <w:rPr>
          <w:rFonts w:ascii="標楷體" w:eastAsia="標楷體" w:hAnsi="標楷體" w:hint="eastAsia"/>
          <w:color w:val="000000"/>
          <w:sz w:val="22"/>
        </w:rPr>
        <w:t>9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407F04" w:rsidRPr="004A5A45" w:rsidRDefault="00407F04" w:rsidP="00407F04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179"/>
        <w:gridCol w:w="436"/>
        <w:gridCol w:w="669"/>
        <w:gridCol w:w="3425"/>
      </w:tblGrid>
      <w:tr w:rsidR="00407F04" w:rsidRPr="004A5A45" w:rsidTr="00F6624B">
        <w:trPr>
          <w:jc w:val="center"/>
        </w:trPr>
        <w:tc>
          <w:tcPr>
            <w:tcW w:w="1848" w:type="dxa"/>
            <w:shd w:val="clear" w:color="auto" w:fill="D6E3BC"/>
            <w:vAlign w:val="center"/>
          </w:tcPr>
          <w:p w:rsidR="00407F04" w:rsidRPr="004A5A45" w:rsidRDefault="00407F04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598" w:type="dxa"/>
            <w:shd w:val="clear" w:color="auto" w:fill="D9D9D9"/>
            <w:vAlign w:val="center"/>
          </w:tcPr>
          <w:p w:rsidR="00407F04" w:rsidRPr="004A5A45" w:rsidRDefault="00407F04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407F04" w:rsidRPr="004A5A45" w:rsidRDefault="00407F04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4" w:type="dxa"/>
            <w:shd w:val="clear" w:color="auto" w:fill="D9D9D9"/>
            <w:vAlign w:val="center"/>
          </w:tcPr>
          <w:p w:rsidR="00407F04" w:rsidRPr="004A5A45" w:rsidRDefault="00407F04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098" w:type="dxa"/>
            <w:shd w:val="clear" w:color="auto" w:fill="D9D9D9"/>
            <w:vAlign w:val="center"/>
          </w:tcPr>
          <w:p w:rsidR="00407F04" w:rsidRPr="004A5A45" w:rsidRDefault="00407F04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407F04" w:rsidRPr="004A5A45" w:rsidTr="00F6624B">
        <w:trPr>
          <w:jc w:val="center"/>
        </w:trPr>
        <w:tc>
          <w:tcPr>
            <w:tcW w:w="1848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0300</w:t>
            </w:r>
          </w:p>
        </w:tc>
        <w:tc>
          <w:tcPr>
            <w:tcW w:w="2598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應用化學書報討論(</w:t>
            </w:r>
            <w:proofErr w:type="gramStart"/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436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734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409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1848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0301</w:t>
            </w:r>
          </w:p>
        </w:tc>
        <w:tc>
          <w:tcPr>
            <w:tcW w:w="2598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應用化學書報討論(二)</w:t>
            </w:r>
          </w:p>
        </w:tc>
        <w:tc>
          <w:tcPr>
            <w:tcW w:w="436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734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409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1848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E524</w:t>
            </w:r>
          </w:p>
        </w:tc>
        <w:tc>
          <w:tcPr>
            <w:tcW w:w="2598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應用化學書報討論(三)</w:t>
            </w:r>
          </w:p>
        </w:tc>
        <w:tc>
          <w:tcPr>
            <w:tcW w:w="436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734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409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1848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E525</w:t>
            </w:r>
          </w:p>
        </w:tc>
        <w:tc>
          <w:tcPr>
            <w:tcW w:w="2598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應用化學書報討論(四)</w:t>
            </w:r>
          </w:p>
        </w:tc>
        <w:tc>
          <w:tcPr>
            <w:tcW w:w="436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734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409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184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9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1" locked="0" layoutInCell="0" allowOverlap="1" wp14:anchorId="51CC5F08" wp14:editId="2866A627">
                  <wp:simplePos x="0" y="0"/>
                  <wp:positionH relativeFrom="margin">
                    <wp:posOffset>330200</wp:posOffset>
                  </wp:positionH>
                  <wp:positionV relativeFrom="margin">
                    <wp:posOffset>-932180</wp:posOffset>
                  </wp:positionV>
                  <wp:extent cx="2785110" cy="2787015"/>
                  <wp:effectExtent l="0" t="0" r="0" b="0"/>
                  <wp:wrapNone/>
                  <wp:docPr id="65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4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09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184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9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436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734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409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407F04" w:rsidRPr="004A5A45" w:rsidRDefault="00407F04" w:rsidP="00407F04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407F04" w:rsidRPr="004A5A45" w:rsidRDefault="00407F04" w:rsidP="00407F04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七、基礎學科（以同等學力資格或非相關學系畢業之錄取者，入學後須補修下</w:t>
      </w:r>
      <w:r>
        <w:rPr>
          <w:rFonts w:ascii="標楷體" w:eastAsia="標楷體" w:hAnsi="標楷體" w:hint="eastAsia"/>
          <w:color w:val="000000"/>
          <w:sz w:val="22"/>
        </w:rPr>
        <w:t>列</w:t>
      </w:r>
      <w:r w:rsidRPr="004A5A45">
        <w:rPr>
          <w:rFonts w:ascii="標楷體" w:eastAsia="標楷體" w:hAnsi="標楷體"/>
          <w:color w:val="000000"/>
          <w:sz w:val="22"/>
        </w:rPr>
        <w:t>之基礎學科）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427"/>
        <w:gridCol w:w="2926"/>
        <w:gridCol w:w="436"/>
        <w:gridCol w:w="3937"/>
      </w:tblGrid>
      <w:tr w:rsidR="00407F04" w:rsidRPr="004A5A45" w:rsidTr="00F6624B">
        <w:trPr>
          <w:jc w:val="center"/>
        </w:trPr>
        <w:tc>
          <w:tcPr>
            <w:tcW w:w="978" w:type="dxa"/>
            <w:shd w:val="clear" w:color="auto" w:fill="D9D9D9"/>
            <w:vAlign w:val="center"/>
          </w:tcPr>
          <w:p w:rsidR="00407F04" w:rsidRPr="004A5A45" w:rsidRDefault="00407F04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27" w:type="dxa"/>
            <w:shd w:val="clear" w:color="auto" w:fill="D9D9D9"/>
            <w:vAlign w:val="center"/>
          </w:tcPr>
          <w:p w:rsidR="00407F04" w:rsidRPr="004A5A45" w:rsidRDefault="00407F04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2926" w:type="dxa"/>
            <w:shd w:val="clear" w:color="auto" w:fill="D9D9D9"/>
            <w:vAlign w:val="center"/>
          </w:tcPr>
          <w:p w:rsidR="00407F04" w:rsidRPr="004A5A45" w:rsidRDefault="00407F04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407F04" w:rsidRPr="004A5A45" w:rsidRDefault="00407F04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937" w:type="dxa"/>
            <w:shd w:val="clear" w:color="auto" w:fill="D9D9D9"/>
            <w:vAlign w:val="center"/>
          </w:tcPr>
          <w:p w:rsidR="00407F04" w:rsidRPr="004A5A45" w:rsidRDefault="00407F04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407F04" w:rsidRPr="004A5A45" w:rsidTr="00F6624B">
        <w:trPr>
          <w:jc w:val="center"/>
        </w:trPr>
        <w:tc>
          <w:tcPr>
            <w:tcW w:w="97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1427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E414</w:t>
            </w:r>
          </w:p>
        </w:tc>
        <w:tc>
          <w:tcPr>
            <w:tcW w:w="292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有機化學(</w:t>
            </w:r>
            <w:proofErr w:type="gramStart"/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43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937" w:type="dxa"/>
            <w:vMerge w:val="restart"/>
            <w:vAlign w:val="center"/>
          </w:tcPr>
          <w:p w:rsidR="00407F04" w:rsidRPr="003C7CF1" w:rsidRDefault="00407F04" w:rsidP="00407F04">
            <w:pPr>
              <w:numPr>
                <w:ilvl w:val="0"/>
                <w:numId w:val="1"/>
              </w:num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非大學化學系或應用化學系畢業生應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依指導教授的指定，</w:t>
            </w: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修補左列基礎科目四門課程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12學分</w:t>
            </w: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407F04" w:rsidRPr="003C7CF1" w:rsidRDefault="00407F04" w:rsidP="00407F04">
            <w:pPr>
              <w:numPr>
                <w:ilvl w:val="0"/>
                <w:numId w:val="1"/>
              </w:num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已修畢科目得申請抵免。</w:t>
            </w:r>
          </w:p>
          <w:p w:rsidR="00407F04" w:rsidRPr="003C7CF1" w:rsidRDefault="00407F04" w:rsidP="00407F04">
            <w:pPr>
              <w:numPr>
                <w:ilvl w:val="0"/>
                <w:numId w:val="1"/>
              </w:num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物理化學(</w:t>
            </w:r>
            <w:proofErr w:type="gramStart"/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)為量子化學概論，內容須為有關量子化學者始可抵免。</w:t>
            </w:r>
          </w:p>
          <w:p w:rsidR="00407F04" w:rsidRPr="004A5A45" w:rsidRDefault="00407F04" w:rsidP="00407F04">
            <w:pPr>
              <w:numPr>
                <w:ilvl w:val="0"/>
                <w:numId w:val="1"/>
              </w:num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一般物理化學課程得抵免本系物理化學(二) 。</w:t>
            </w:r>
          </w:p>
        </w:tc>
      </w:tr>
      <w:tr w:rsidR="00407F04" w:rsidRPr="004A5A45" w:rsidTr="00F6624B">
        <w:trPr>
          <w:jc w:val="center"/>
        </w:trPr>
        <w:tc>
          <w:tcPr>
            <w:tcW w:w="97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1427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E412</w:t>
            </w:r>
          </w:p>
        </w:tc>
        <w:tc>
          <w:tcPr>
            <w:tcW w:w="292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分析化學(</w:t>
            </w:r>
            <w:proofErr w:type="gramStart"/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43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937" w:type="dxa"/>
            <w:vMerge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97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427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4883</w:t>
            </w:r>
          </w:p>
        </w:tc>
        <w:tc>
          <w:tcPr>
            <w:tcW w:w="292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物理化學(</w:t>
            </w:r>
            <w:proofErr w:type="gramStart"/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43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937" w:type="dxa"/>
            <w:vMerge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97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1427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E416</w:t>
            </w:r>
          </w:p>
        </w:tc>
        <w:tc>
          <w:tcPr>
            <w:tcW w:w="292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無機化學(</w:t>
            </w:r>
            <w:proofErr w:type="gramStart"/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43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937" w:type="dxa"/>
            <w:vMerge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97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1427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E415</w:t>
            </w:r>
          </w:p>
        </w:tc>
        <w:tc>
          <w:tcPr>
            <w:tcW w:w="292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有機化學(二)</w:t>
            </w:r>
          </w:p>
        </w:tc>
        <w:tc>
          <w:tcPr>
            <w:tcW w:w="43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937" w:type="dxa"/>
            <w:vMerge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97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1427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E413</w:t>
            </w:r>
          </w:p>
        </w:tc>
        <w:tc>
          <w:tcPr>
            <w:tcW w:w="292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分析化學(二)</w:t>
            </w:r>
          </w:p>
        </w:tc>
        <w:tc>
          <w:tcPr>
            <w:tcW w:w="43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937" w:type="dxa"/>
            <w:vMerge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97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1427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4884</w:t>
            </w:r>
          </w:p>
        </w:tc>
        <w:tc>
          <w:tcPr>
            <w:tcW w:w="292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物理化學(二)</w:t>
            </w:r>
          </w:p>
        </w:tc>
        <w:tc>
          <w:tcPr>
            <w:tcW w:w="43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937" w:type="dxa"/>
            <w:vMerge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97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1427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E417</w:t>
            </w:r>
          </w:p>
        </w:tc>
        <w:tc>
          <w:tcPr>
            <w:tcW w:w="292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無機化學(二)</w:t>
            </w:r>
          </w:p>
        </w:tc>
        <w:tc>
          <w:tcPr>
            <w:tcW w:w="43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937" w:type="dxa"/>
            <w:vMerge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97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1427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2033</w:t>
            </w:r>
          </w:p>
        </w:tc>
        <w:tc>
          <w:tcPr>
            <w:tcW w:w="292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生物化學(上)</w:t>
            </w:r>
          </w:p>
        </w:tc>
        <w:tc>
          <w:tcPr>
            <w:tcW w:w="436" w:type="dxa"/>
            <w:vAlign w:val="center"/>
          </w:tcPr>
          <w:p w:rsidR="00407F04" w:rsidRPr="003C7CF1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7CF1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937" w:type="dxa"/>
            <w:vMerge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97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1427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2215</w:t>
            </w:r>
          </w:p>
        </w:tc>
        <w:tc>
          <w:tcPr>
            <w:tcW w:w="2926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儀器分析</w:t>
            </w:r>
          </w:p>
        </w:tc>
        <w:tc>
          <w:tcPr>
            <w:tcW w:w="436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937" w:type="dxa"/>
            <w:vMerge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07F04" w:rsidRPr="004A5A45" w:rsidTr="00F6624B">
        <w:trPr>
          <w:jc w:val="center"/>
        </w:trPr>
        <w:tc>
          <w:tcPr>
            <w:tcW w:w="978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2926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30</w:t>
            </w:r>
          </w:p>
        </w:tc>
        <w:tc>
          <w:tcPr>
            <w:tcW w:w="3937" w:type="dxa"/>
            <w:vAlign w:val="center"/>
          </w:tcPr>
          <w:p w:rsidR="00407F04" w:rsidRPr="004A5A45" w:rsidRDefault="00407F04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407F04" w:rsidRPr="004A5A45" w:rsidRDefault="00407F04" w:rsidP="00407F04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lastRenderedPageBreak/>
        <w:t>八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</w:p>
    <w:p w:rsidR="00407F04" w:rsidRPr="004A5A45" w:rsidRDefault="00407F04" w:rsidP="00407F04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407F04" w:rsidRPr="004A5A45" w:rsidRDefault="00407F04" w:rsidP="00407F04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 xml:space="preserve">2.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</w:t>
      </w:r>
    </w:p>
    <w:p w:rsidR="00407F04" w:rsidRDefault="00407F04" w:rsidP="00407F04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九</w:t>
      </w:r>
      <w:r w:rsidRPr="004A5A45">
        <w:rPr>
          <w:rFonts w:ascii="標楷體" w:eastAsia="標楷體" w:hAnsi="標楷體"/>
          <w:color w:val="000000"/>
          <w:sz w:val="22"/>
        </w:rPr>
        <w:t>、備註</w:t>
      </w:r>
    </w:p>
    <w:p w:rsidR="00755AC6" w:rsidRPr="00407F04" w:rsidRDefault="00755AC6" w:rsidP="00407F04"/>
    <w:sectPr w:rsidR="00755AC6" w:rsidRPr="00407F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63BA7"/>
    <w:multiLevelType w:val="hybridMultilevel"/>
    <w:tmpl w:val="31CCB06A"/>
    <w:lvl w:ilvl="0" w:tplc="C1321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04"/>
    <w:rsid w:val="00407F04"/>
    <w:rsid w:val="00755AC6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B1DB2-6577-4838-9AFA-D1C3AECB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04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2019-03-13T01:28:00Z</dcterms:created>
  <dcterms:modified xsi:type="dcterms:W3CDTF">2019-03-14T02:26:00Z</dcterms:modified>
</cp:coreProperties>
</file>